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M. Sc. Botany (Semester-III)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Paper-I</w:t>
      </w:r>
      <w:r w:rsidR="0080683D" w:rsidRPr="00CD3EE7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CD3EE7">
        <w:rPr>
          <w:rFonts w:ascii="Times New Roman" w:hAnsi="Times New Roman"/>
          <w:b/>
          <w:bCs/>
          <w:sz w:val="24"/>
          <w:szCs w:val="24"/>
        </w:rPr>
        <w:t xml:space="preserve"> Evolutionary and Economic Botany</w:t>
      </w:r>
    </w:p>
    <w:p w:rsidR="000502C0" w:rsidRPr="00CD3EE7" w:rsidRDefault="00317EB8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BOT301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Evolutionary Biology: Origin of life (including aspects of prebiotic environment and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molecular evolution); Concept of evolution; Theories of organic evolution; Mechanisms of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speciation.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Hardyweinberg genetic equilibrium, genetic polymorphism and selection; origin and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evolution of economically important microbes and plants.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Origin of agriculture: World centers of primary diversity of domesticated plants; Plant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introduction; Secondary centers of origin.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Plant as a source of renewable energy; Innovations for meeting world food demands.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6004D0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Botany, cultivation and uses of –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a. Food, forage and fodder crops (cereals, pulses, vegetables and fruits)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b. Fiber yielding plants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Botany, cultivation and uses of-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Medicinal plants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a. Aromatic plants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b. Oil yielding plants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Important fire-wood, timber-yielding plants and Non-wood forest products (NWFPs) such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as- Bamboos, rattans, raw materials for paper-making, gums, tannins, dyes and resins.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Plants used as avenue trees for shade, pollution control and aesthetics.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Suggested Laboratory Exercises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The practical course is divided into three units: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i) Laboratory Work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ii) Field Survey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iii) Scientific visits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i) Laboratory Work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 xml:space="preserve">Food Crops: </w:t>
      </w:r>
      <w:r w:rsidRPr="00CD3EE7">
        <w:rPr>
          <w:rFonts w:ascii="Times New Roman" w:hAnsi="Times New Roman"/>
          <w:sz w:val="24"/>
          <w:szCs w:val="24"/>
        </w:rPr>
        <w:t>Wheat, Rice, Maize, Potato, Chickpea(Bengal gram), Sugarcane.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Morphology, anatomy, microchemical tests for stored food materials.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Fodder Crops:</w:t>
      </w:r>
      <w:r w:rsidRPr="00CD3EE7">
        <w:rPr>
          <w:rFonts w:ascii="Times New Roman" w:hAnsi="Times New Roman"/>
          <w:sz w:val="24"/>
          <w:szCs w:val="24"/>
        </w:rPr>
        <w:t>Sorghum, Bajra, Berseem, Guar, Oat.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lastRenderedPageBreak/>
        <w:t xml:space="preserve">Plant Fibres: </w:t>
      </w:r>
      <w:r w:rsidRPr="00CD3EE7">
        <w:rPr>
          <w:rFonts w:ascii="Times New Roman" w:hAnsi="Times New Roman"/>
          <w:sz w:val="24"/>
          <w:szCs w:val="24"/>
        </w:rPr>
        <w:t>Cotton, Jute, Sun hemp, Coir.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 xml:space="preserve">Medicinal and Aromatic Plants: </w:t>
      </w:r>
      <w:r w:rsidRPr="00CD3EE7">
        <w:rPr>
          <w:rFonts w:ascii="Times New Roman" w:hAnsi="Times New Roman"/>
          <w:sz w:val="24"/>
          <w:szCs w:val="24"/>
        </w:rPr>
        <w:t>Study of live or herbarium specimens or other visual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materials to become familiar with following plants: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D3EE7">
        <w:rPr>
          <w:rFonts w:ascii="Times New Roman" w:hAnsi="Times New Roman"/>
          <w:iCs/>
          <w:sz w:val="24"/>
          <w:szCs w:val="24"/>
        </w:rPr>
        <w:t>Papaver somniferum, Atropa belladona, Catharanthus roseus, Adhatoda zeylanica,</w:t>
      </w:r>
      <w:r w:rsidR="00CD3EE7">
        <w:rPr>
          <w:rFonts w:ascii="Times New Roman" w:hAnsi="Times New Roman"/>
          <w:iCs/>
          <w:sz w:val="24"/>
          <w:szCs w:val="24"/>
        </w:rPr>
        <w:t xml:space="preserve"> </w:t>
      </w:r>
      <w:r w:rsidRPr="00CD3EE7">
        <w:rPr>
          <w:rFonts w:ascii="Times New Roman" w:hAnsi="Times New Roman"/>
          <w:iCs/>
          <w:sz w:val="24"/>
          <w:szCs w:val="24"/>
        </w:rPr>
        <w:t>Allium sativum, Rauwolfia serpentine, Withani</w:t>
      </w:r>
      <w:r w:rsidR="00CD3EE7">
        <w:rPr>
          <w:rFonts w:ascii="Times New Roman" w:hAnsi="Times New Roman"/>
          <w:iCs/>
          <w:sz w:val="24"/>
          <w:szCs w:val="24"/>
        </w:rPr>
        <w:t xml:space="preserve">a somnifera, Phyllanthus niruri, </w:t>
      </w:r>
      <w:r w:rsidRPr="00CD3EE7">
        <w:rPr>
          <w:rFonts w:ascii="Times New Roman" w:hAnsi="Times New Roman"/>
          <w:iCs/>
          <w:sz w:val="24"/>
          <w:szCs w:val="24"/>
        </w:rPr>
        <w:t>Andrographis paniculata, Aloe barbadensis, Mentha arvensis, Ricinus communis,</w:t>
      </w:r>
      <w:r w:rsidR="00CD3EE7">
        <w:rPr>
          <w:rFonts w:ascii="Times New Roman" w:hAnsi="Times New Roman"/>
          <w:iCs/>
          <w:sz w:val="24"/>
          <w:szCs w:val="24"/>
        </w:rPr>
        <w:t xml:space="preserve"> </w:t>
      </w:r>
      <w:r w:rsidRPr="00CD3EE7">
        <w:rPr>
          <w:rFonts w:ascii="Times New Roman" w:hAnsi="Times New Roman"/>
          <w:iCs/>
          <w:sz w:val="24"/>
          <w:szCs w:val="24"/>
        </w:rPr>
        <w:t>Abutilon indicum, Datura sp., Artemisia sp., Pedalium murex, Ocimum sanctum,</w:t>
      </w:r>
      <w:r w:rsidR="00CD3EE7">
        <w:rPr>
          <w:rFonts w:ascii="Times New Roman" w:hAnsi="Times New Roman"/>
          <w:iCs/>
          <w:sz w:val="24"/>
          <w:szCs w:val="24"/>
        </w:rPr>
        <w:t xml:space="preserve"> </w:t>
      </w:r>
      <w:r w:rsidRPr="00CD3EE7">
        <w:rPr>
          <w:rFonts w:ascii="Times New Roman" w:hAnsi="Times New Roman"/>
          <w:iCs/>
          <w:sz w:val="24"/>
          <w:szCs w:val="24"/>
        </w:rPr>
        <w:t>Vetiveria zizanoides, Cymbopogon maritini.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 xml:space="preserve">Gums, Resins, Tannins, Dyes: </w:t>
      </w:r>
      <w:r w:rsidRPr="00CD3EE7">
        <w:rPr>
          <w:rFonts w:ascii="Times New Roman" w:hAnsi="Times New Roman"/>
          <w:iCs/>
          <w:sz w:val="24"/>
          <w:szCs w:val="24"/>
        </w:rPr>
        <w:t>Acacia, Terminalia, Tea, Turmaric, Bixa orellana,</w:t>
      </w:r>
      <w:r w:rsidR="00CD3EE7">
        <w:rPr>
          <w:rFonts w:ascii="Times New Roman" w:hAnsi="Times New Roman"/>
          <w:iCs/>
          <w:sz w:val="24"/>
          <w:szCs w:val="24"/>
        </w:rPr>
        <w:t xml:space="preserve"> </w:t>
      </w:r>
      <w:r w:rsidRPr="00CD3EE7">
        <w:rPr>
          <w:rFonts w:ascii="Times New Roman" w:hAnsi="Times New Roman"/>
          <w:iCs/>
          <w:sz w:val="24"/>
          <w:szCs w:val="24"/>
        </w:rPr>
        <w:t>Indigo, Butea monosperma, Lawsonia inermis.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ii) Field Survey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Prepare a list of important sourses of firewood and timber in your locality. Give their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local names, scientific names and families to which they belong.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iii) Scientific visits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Students should be taken to any protected area, a recognized botanical garden or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museum(such as FRI, BSI, NBRI), to a CSIR laboratory doing research on plants and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their utilization and an ICAR research institute or a field station dealing with crops.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Suggested readings: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Swaminathan, M.N. &amp; Jain, R.S. </w:t>
      </w:r>
      <w:r w:rsidRPr="00CD3EE7">
        <w:rPr>
          <w:rFonts w:ascii="Times New Roman" w:hAnsi="Times New Roman"/>
          <w:bCs/>
          <w:sz w:val="24"/>
          <w:szCs w:val="24"/>
        </w:rPr>
        <w:t>Biodiversity: Implications for global security</w:t>
      </w:r>
      <w:r w:rsidRPr="00CD3EE7">
        <w:rPr>
          <w:rFonts w:ascii="Times New Roman" w:hAnsi="Times New Roman"/>
          <w:sz w:val="24"/>
          <w:szCs w:val="24"/>
        </w:rPr>
        <w:t>, Macmillan,1982.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CSIR 1986. </w:t>
      </w:r>
      <w:r w:rsidRPr="00CD3EE7">
        <w:rPr>
          <w:rFonts w:ascii="Times New Roman" w:hAnsi="Times New Roman"/>
          <w:bCs/>
          <w:sz w:val="24"/>
          <w:szCs w:val="24"/>
        </w:rPr>
        <w:t>The Useful Plants in India</w:t>
      </w:r>
      <w:r w:rsidRPr="00CD3EE7">
        <w:rPr>
          <w:rFonts w:ascii="Times New Roman" w:hAnsi="Times New Roman"/>
          <w:sz w:val="24"/>
          <w:szCs w:val="24"/>
        </w:rPr>
        <w:t>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Kothari, 1987. </w:t>
      </w:r>
      <w:r w:rsidRPr="00CD3EE7">
        <w:rPr>
          <w:rFonts w:ascii="Times New Roman" w:hAnsi="Times New Roman"/>
          <w:bCs/>
          <w:sz w:val="24"/>
          <w:szCs w:val="24"/>
        </w:rPr>
        <w:t>Understanding biodiversity, life sustainability and equity</w:t>
      </w:r>
      <w:r w:rsidRPr="00CD3EE7">
        <w:rPr>
          <w:rFonts w:ascii="Times New Roman" w:hAnsi="Times New Roman"/>
          <w:sz w:val="24"/>
          <w:szCs w:val="24"/>
        </w:rPr>
        <w:t>, Orient Longman.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Sharma, O.P. 1996. </w:t>
      </w:r>
      <w:r w:rsidRPr="00CD3EE7">
        <w:rPr>
          <w:rFonts w:ascii="Times New Roman" w:hAnsi="Times New Roman"/>
          <w:bCs/>
          <w:sz w:val="24"/>
          <w:szCs w:val="24"/>
        </w:rPr>
        <w:t>Hills Economic Botany.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Thakur, R.S. </w:t>
      </w:r>
      <w:r w:rsidRPr="00CD3EE7">
        <w:rPr>
          <w:rFonts w:ascii="Times New Roman" w:hAnsi="Times New Roman"/>
          <w:i/>
          <w:iCs/>
          <w:sz w:val="24"/>
          <w:szCs w:val="24"/>
        </w:rPr>
        <w:t xml:space="preserve">et al., </w:t>
      </w:r>
      <w:r w:rsidRPr="00CD3EE7">
        <w:rPr>
          <w:rFonts w:ascii="Times New Roman" w:hAnsi="Times New Roman"/>
          <w:bCs/>
          <w:sz w:val="24"/>
          <w:szCs w:val="24"/>
        </w:rPr>
        <w:t>Major Medicinal Plants.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Kocchar, S.L. 1998. </w:t>
      </w:r>
      <w:r w:rsidRPr="00CD3EE7">
        <w:rPr>
          <w:rFonts w:ascii="Times New Roman" w:hAnsi="Times New Roman"/>
          <w:bCs/>
          <w:sz w:val="24"/>
          <w:szCs w:val="24"/>
        </w:rPr>
        <w:t>Economic Botany of Tropics..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Richard B. Primack. 1993. </w:t>
      </w:r>
      <w:r w:rsidRPr="00CD3EE7">
        <w:rPr>
          <w:rFonts w:ascii="Times New Roman" w:hAnsi="Times New Roman"/>
          <w:bCs/>
          <w:sz w:val="24"/>
          <w:szCs w:val="24"/>
        </w:rPr>
        <w:t>Essentials of Conservation Biology.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Heywood, V.H. &amp; Watson, R.T. 1995. </w:t>
      </w:r>
      <w:r w:rsidRPr="00CD3EE7">
        <w:rPr>
          <w:rFonts w:ascii="Times New Roman" w:hAnsi="Times New Roman"/>
          <w:bCs/>
          <w:sz w:val="24"/>
          <w:szCs w:val="24"/>
        </w:rPr>
        <w:t>Global Biodiversity Assessment.</w:t>
      </w:r>
    </w:p>
    <w:p w:rsidR="005710C9" w:rsidRPr="00CD3EE7" w:rsidRDefault="00CC3629" w:rsidP="00CD3E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Peter B. Kaufman </w:t>
      </w:r>
      <w:r w:rsidRPr="00CD3EE7">
        <w:rPr>
          <w:rFonts w:ascii="Times New Roman" w:hAnsi="Times New Roman"/>
          <w:i/>
          <w:iCs/>
          <w:sz w:val="24"/>
          <w:szCs w:val="24"/>
        </w:rPr>
        <w:t>et al</w:t>
      </w:r>
      <w:r w:rsidRPr="00CD3EE7">
        <w:rPr>
          <w:rFonts w:ascii="Times New Roman" w:hAnsi="Times New Roman"/>
          <w:sz w:val="24"/>
          <w:szCs w:val="24"/>
        </w:rPr>
        <w:t xml:space="preserve">., 1999. </w:t>
      </w:r>
      <w:r w:rsidRPr="00CD3EE7">
        <w:rPr>
          <w:rFonts w:ascii="Times New Roman" w:hAnsi="Times New Roman"/>
          <w:bCs/>
          <w:sz w:val="24"/>
          <w:szCs w:val="24"/>
        </w:rPr>
        <w:t>Natural Products from Plants.</w:t>
      </w:r>
    </w:p>
    <w:p w:rsidR="005710C9" w:rsidRPr="00CD3EE7" w:rsidRDefault="00CC3629" w:rsidP="00CD3EE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Negi, S.S. 1993. </w:t>
      </w:r>
      <w:r w:rsidRPr="00CD3EE7">
        <w:rPr>
          <w:rFonts w:ascii="Times New Roman" w:hAnsi="Times New Roman"/>
          <w:bCs/>
          <w:sz w:val="24"/>
          <w:szCs w:val="24"/>
        </w:rPr>
        <w:t>Biodiversity and its Conservation in India.</w:t>
      </w:r>
    </w:p>
    <w:p w:rsidR="005710C9" w:rsidRPr="00CD3EE7" w:rsidRDefault="005710C9" w:rsidP="00CD3EE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710C9" w:rsidRPr="00CD3EE7" w:rsidRDefault="005710C9" w:rsidP="00CD3EE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710C9" w:rsidRPr="00CD3EE7" w:rsidRDefault="005710C9" w:rsidP="00CD3EE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3FCE" w:rsidRPr="00CD3EE7" w:rsidRDefault="00944B84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br w:type="column"/>
      </w:r>
    </w:p>
    <w:p w:rsidR="00A33FCE" w:rsidRPr="00CD3EE7" w:rsidRDefault="00A33FCE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M. Sc. Botany (Semester-III)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PAPER-II</w:t>
      </w:r>
      <w:r w:rsidR="00606193" w:rsidRPr="00CD3EE7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7A4C81" w:rsidRPr="00CD3EE7">
        <w:rPr>
          <w:rFonts w:ascii="Times New Roman" w:hAnsi="Times New Roman"/>
          <w:b/>
          <w:bCs/>
          <w:sz w:val="24"/>
          <w:szCs w:val="24"/>
        </w:rPr>
        <w:t>PLANT REPRODUCTION</w:t>
      </w:r>
    </w:p>
    <w:p w:rsidR="00F13ED5" w:rsidRPr="00CD3EE7" w:rsidRDefault="00BD5A0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BOT302</w:t>
      </w:r>
    </w:p>
    <w:p w:rsidR="00A076B8" w:rsidRPr="00CD3EE7" w:rsidRDefault="00A076B8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Male gametophyte: Structure of anther; microsporogenesis; role of tapetum; pollen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development and gene expression; male sterility, sperm dimorphism; pollen germination;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pollen tube growth and guidance, pollen storage; pollen allergy.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Female gametophyte: Ovule development; megasporogenesis; organization of embryo sac;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structure and functions of embryo sac cells.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Pollination: Floral characteristics, mechanisms and vectors.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Pollen-pistil interaction and fertilization: structure of the pistil; pollen stigma interactions,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Self incompatibility- SSI and GSI (cytological, biochemical and molecular aspects); Double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 xml:space="preserve">fertilization; </w:t>
      </w:r>
      <w:r w:rsidRPr="00CD3EE7">
        <w:rPr>
          <w:rFonts w:ascii="Times New Roman" w:hAnsi="Times New Roman"/>
          <w:iCs/>
          <w:sz w:val="24"/>
          <w:szCs w:val="24"/>
        </w:rPr>
        <w:t>in-vitro</w:t>
      </w:r>
      <w:r w:rsidRPr="00CD3EE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fertilization.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Seed Development: Endosperm development during early maturation and desiccation stages;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embryogenesis- ultrastructure and nuclear cytology. Storage proteins of endosperms and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embryo; Polyembryony; Apomixis; Embryo culture.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Fruit Growth: Dynamics of fruit growth; Biochemistry and molecular biology of fruit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maturation.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Dormancy: Importance and types of dormancy; seed dormancy; methods of overcoming seed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dormancy</w:t>
      </w:r>
      <w:r w:rsidR="00A37197" w:rsidRPr="00CD3EE7">
        <w:rPr>
          <w:rFonts w:ascii="Times New Roman" w:hAnsi="Times New Roman"/>
          <w:sz w:val="24"/>
          <w:szCs w:val="24"/>
        </w:rPr>
        <w:t>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Suggested Laboratory Exercises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1. Study of microsporogenesis and gametogenesis in sections of anthers.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2. Examination of modes of anther dehiscence and collection of pollen grains for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microscopic examination (maize, grasses, </w:t>
      </w:r>
      <w:r w:rsidRPr="00CD3EE7">
        <w:rPr>
          <w:rFonts w:ascii="Times New Roman" w:hAnsi="Times New Roman"/>
          <w:iCs/>
          <w:sz w:val="24"/>
          <w:szCs w:val="24"/>
        </w:rPr>
        <w:t>Cannabis sativa, Tradescantia, Crotolaria,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iCs/>
          <w:sz w:val="24"/>
          <w:szCs w:val="24"/>
        </w:rPr>
        <w:t>Brassica, Petunia, Solanum melongena</w:t>
      </w:r>
      <w:r w:rsidRPr="00CD3EE7">
        <w:rPr>
          <w:rFonts w:ascii="Times New Roman" w:hAnsi="Times New Roman"/>
          <w:sz w:val="24"/>
          <w:szCs w:val="24"/>
        </w:rPr>
        <w:t>, etc.).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3. Tests for pollen viability using stains and </w:t>
      </w:r>
      <w:r w:rsidRPr="00CD3EE7">
        <w:rPr>
          <w:rFonts w:ascii="Times New Roman" w:hAnsi="Times New Roman"/>
          <w:i/>
          <w:iCs/>
          <w:sz w:val="24"/>
          <w:szCs w:val="24"/>
        </w:rPr>
        <w:t xml:space="preserve">in vitro </w:t>
      </w:r>
      <w:r w:rsidRPr="00CD3EE7">
        <w:rPr>
          <w:rFonts w:ascii="Times New Roman" w:hAnsi="Times New Roman"/>
          <w:sz w:val="24"/>
          <w:szCs w:val="24"/>
        </w:rPr>
        <w:t>germination. Pollen germination using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hanging drop and sitting drop cultures, suspension culture and surface cultures.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4. Estimating percentage and average pollen tube length </w:t>
      </w:r>
      <w:r w:rsidRPr="00CD3EE7">
        <w:rPr>
          <w:rFonts w:ascii="Times New Roman" w:hAnsi="Times New Roman"/>
          <w:i/>
          <w:iCs/>
          <w:sz w:val="24"/>
          <w:szCs w:val="24"/>
        </w:rPr>
        <w:t>in vitro.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5. Role of transcription and translation inhibitors on pollen germination and pollen tube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growth.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6. Pollen storage, pollen –pistil interaction, self incompatibility, </w:t>
      </w:r>
      <w:r w:rsidRPr="00CD3EE7">
        <w:rPr>
          <w:rFonts w:ascii="Times New Roman" w:hAnsi="Times New Roman"/>
          <w:i/>
          <w:iCs/>
          <w:sz w:val="24"/>
          <w:szCs w:val="24"/>
        </w:rPr>
        <w:t xml:space="preserve">in vitro </w:t>
      </w:r>
      <w:r w:rsidRPr="00CD3EE7">
        <w:rPr>
          <w:rFonts w:ascii="Times New Roman" w:hAnsi="Times New Roman"/>
          <w:sz w:val="24"/>
          <w:szCs w:val="24"/>
        </w:rPr>
        <w:t>pollination.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7. Study of ovules in cleared peparations; study of monosporic, bisporic and tetrasporic type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of embryosac development through examination of permanent, stained serial sections.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8. Field study of several types of flowers with different pollination mechanisms (wind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lastRenderedPageBreak/>
        <w:t>pollination, thrips pollination, bee/butterfly pollination, bird pollination).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9. Emasculation, bagging and hand pollination to study pollen germination, seed set and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fruit development using self compatible and obligate out crossing systems.study of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cleistogamous flowers and their adaptations.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10. Study of nuclear and cellular endosperm through permanent slides.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11. Isolation of zygotic globular, heart shaped, torpedo stage and mature embryos from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suitable seeds and polyembryony in citrus, jamun, etc.by dissections.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12. Study of seed dormancy and methods to break dormancy.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Suggested readings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1</w:t>
      </w:r>
      <w:r w:rsidRPr="00CD3EE7">
        <w:rPr>
          <w:rFonts w:ascii="Times New Roman" w:hAnsi="Times New Roman"/>
          <w:bCs/>
          <w:sz w:val="24"/>
          <w:szCs w:val="24"/>
        </w:rPr>
        <w:t xml:space="preserve">. </w:t>
      </w:r>
      <w:r w:rsidRPr="00CD3EE7">
        <w:rPr>
          <w:rFonts w:ascii="Times New Roman" w:hAnsi="Times New Roman"/>
          <w:sz w:val="24"/>
          <w:szCs w:val="24"/>
        </w:rPr>
        <w:t>Bhojwani, S.S. and Bhatnagar, S.P. 2000</w:t>
      </w:r>
      <w:r w:rsidRPr="00CD3EE7">
        <w:rPr>
          <w:rFonts w:ascii="Times New Roman" w:hAnsi="Times New Roman"/>
          <w:bCs/>
          <w:sz w:val="24"/>
          <w:szCs w:val="24"/>
        </w:rPr>
        <w:t>The embryology of Angiosperms. (4th revised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bCs/>
          <w:sz w:val="24"/>
          <w:szCs w:val="24"/>
        </w:rPr>
        <w:t>and enlarged edition), Vikas publishing house, New Delhi.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2. Maheswari, P. </w:t>
      </w:r>
      <w:r w:rsidRPr="00CD3EE7">
        <w:rPr>
          <w:rFonts w:ascii="Times New Roman" w:hAnsi="Times New Roman"/>
          <w:bCs/>
          <w:sz w:val="24"/>
          <w:szCs w:val="24"/>
        </w:rPr>
        <w:t>An Introduction to Embryology of Angiosperms</w:t>
      </w:r>
      <w:r w:rsidRPr="00CD3EE7">
        <w:rPr>
          <w:rFonts w:ascii="Times New Roman" w:hAnsi="Times New Roman"/>
          <w:sz w:val="24"/>
          <w:szCs w:val="24"/>
        </w:rPr>
        <w:t>, 1950.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3. Shivanna, K.R. and Johri, B.M. </w:t>
      </w:r>
      <w:r w:rsidRPr="00CD3EE7">
        <w:rPr>
          <w:rFonts w:ascii="Times New Roman" w:hAnsi="Times New Roman"/>
          <w:bCs/>
          <w:sz w:val="24"/>
          <w:szCs w:val="24"/>
        </w:rPr>
        <w:t>The Angiosperm Pollen: structure and Function</w:t>
      </w:r>
      <w:r w:rsidRPr="00CD3EE7">
        <w:rPr>
          <w:rFonts w:ascii="Times New Roman" w:hAnsi="Times New Roman"/>
          <w:sz w:val="24"/>
          <w:szCs w:val="24"/>
        </w:rPr>
        <w:t>,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Wiley Eastern Ltd., Publications, 1989.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4. Johri, B.M., Ambegaokar, K.B. and Srivastava, P.S. </w:t>
      </w:r>
      <w:r w:rsidRPr="00CD3EE7">
        <w:rPr>
          <w:rFonts w:ascii="Times New Roman" w:hAnsi="Times New Roman"/>
          <w:bCs/>
          <w:sz w:val="24"/>
          <w:szCs w:val="24"/>
        </w:rPr>
        <w:t>Comparative Embryology of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bCs/>
          <w:sz w:val="24"/>
          <w:szCs w:val="24"/>
        </w:rPr>
        <w:t>Angiosperms</w:t>
      </w:r>
      <w:r w:rsidRPr="00CD3EE7">
        <w:rPr>
          <w:rFonts w:ascii="Times New Roman" w:hAnsi="Times New Roman"/>
          <w:sz w:val="24"/>
          <w:szCs w:val="24"/>
        </w:rPr>
        <w:t>, Vol. I &amp; II, SpringerVerlag publication.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5. Bhojwani, S.S.and Bhatnagar,S.P.1999.The Embryology of Angiosperms.Vikas.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publishing House, New Delhi.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6. Raghwan,V.1997.Developmental biology of flowering plants. Springeverlag,New York.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7 Salisbury, F.B.and Ross,C.w.1992.Plant physiology(4th edn.).Wadsworth publishing,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Belmont, Callifornia.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8. Shivanna, K.R.and Sawhney,V.K.1997.Pollen biotechnology for crop production and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improvement. Cambridge University press, Cambridge.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5A09" w:rsidRDefault="00BD5A09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D3EE7" w:rsidRPr="00CD3EE7" w:rsidRDefault="00CD3EE7" w:rsidP="00CD3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5A09" w:rsidRPr="00CD3EE7" w:rsidRDefault="00BD5A0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lastRenderedPageBreak/>
        <w:t>M. Sc. Botany (Semester-III)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Paper-III</w:t>
      </w:r>
      <w:r w:rsidR="00BD5A09" w:rsidRPr="00CD3EE7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CD3EE7">
        <w:rPr>
          <w:rFonts w:ascii="Times New Roman" w:hAnsi="Times New Roman"/>
          <w:b/>
          <w:bCs/>
          <w:sz w:val="24"/>
          <w:szCs w:val="24"/>
        </w:rPr>
        <w:t xml:space="preserve">  Ethnobotany</w:t>
      </w:r>
    </w:p>
    <w:p w:rsidR="005710C9" w:rsidRPr="00CD3EE7" w:rsidRDefault="00F2057C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BOT303</w:t>
      </w:r>
    </w:p>
    <w:p w:rsidR="00243A3E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Ethnobotany:Introduction,concept,scope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="00CD3EE7" w:rsidRPr="00CD3EE7">
        <w:rPr>
          <w:rFonts w:ascii="Times New Roman" w:hAnsi="Times New Roman"/>
          <w:sz w:val="24"/>
          <w:szCs w:val="24"/>
        </w:rPr>
        <w:t>A</w:t>
      </w:r>
      <w:r w:rsidRPr="00CD3EE7">
        <w:rPr>
          <w:rFonts w:ascii="Times New Roman" w:hAnsi="Times New Roman"/>
          <w:sz w:val="24"/>
          <w:szCs w:val="24"/>
        </w:rPr>
        <w:t>nd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objectives. Ethnobotany as an interdisciplinary science;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relevance of ethnobotany in the present context.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History of plant - human interactions and centers of ethnobotanical studies in the world .Ethnic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groups and Ethnobotany: Major and minor ethnic groups or Tribals of India, and their life styles.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Methodology of Ethnobotanical studies: a) Field work b) Herbarium c) Ancient Literature d)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Archaeological findings e) temples and sacred places f) Protocols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Plants vs. Traditional Life: a) Food plants b) Intoxicants and Beverages c) Resins and oils d) Ropes and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Bindings materials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CD3EE7">
        <w:rPr>
          <w:rFonts w:ascii="Times New Roman" w:hAnsi="Times New Roman"/>
          <w:sz w:val="24"/>
          <w:szCs w:val="24"/>
        </w:rPr>
        <w:t>Plants in traditional life with reference to magico-religious rituals and social customs;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Medicinal plants used in traditional system of medicine with examples from local plants.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A brief account ethnoveterinary medicine and its significance in Indian contest.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Contribution of ethnobotany in modern medicine with special examples and ethnobotany directed drug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Discovery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Role of ethnobotany in the conservation of native plant genetic resources; sacred groves and sacred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plants of Haryana and India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Ethnobotany and legal aspects; ethnobotany as a tool to protect interests of ethnic groups;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National and international initiatives for benefit sharing and intellectual property rights and conservation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of traditional knowledge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The ethnobotanical data documentation with special reference to Traditional Knowledge Digital</w:t>
      </w:r>
      <w:r w:rsidR="00CD3EE7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Library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Practicals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1. </w:t>
      </w:r>
      <w:r w:rsidRPr="00CD3EE7">
        <w:rPr>
          <w:rFonts w:ascii="Times New Roman" w:hAnsi="Times New Roman"/>
          <w:iCs/>
          <w:sz w:val="24"/>
          <w:szCs w:val="24"/>
        </w:rPr>
        <w:t>Collection of ethnobotanical data</w:t>
      </w:r>
      <w:r w:rsidRPr="00CD3EE7">
        <w:rPr>
          <w:rFonts w:ascii="Times New Roman" w:hAnsi="Times New Roman"/>
          <w:sz w:val="24"/>
          <w:szCs w:val="24"/>
        </w:rPr>
        <w:t>: From a local forest area and from a local people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ethnobotanical data are to be collected. The details of resource persons are documented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(Photography, video, tape recording, etc.)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2. Analysis of ethnobotanical data disease-wise, plant part wise, habit-wise, region-wise and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pictorial presentation of these data.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3. Calculation of </w:t>
      </w:r>
      <w:r w:rsidRPr="00CD3EE7">
        <w:rPr>
          <w:rFonts w:ascii="Times New Roman" w:hAnsi="Times New Roman"/>
          <w:iCs/>
          <w:sz w:val="24"/>
          <w:szCs w:val="24"/>
        </w:rPr>
        <w:t xml:space="preserve">total importance value </w:t>
      </w:r>
      <w:r w:rsidRPr="00CD3EE7">
        <w:rPr>
          <w:rFonts w:ascii="Times New Roman" w:hAnsi="Times New Roman"/>
          <w:sz w:val="24"/>
          <w:szCs w:val="24"/>
        </w:rPr>
        <w:t xml:space="preserve">(TIV) </w:t>
      </w:r>
      <w:r w:rsidRPr="00CD3EE7">
        <w:rPr>
          <w:rFonts w:ascii="Times New Roman" w:hAnsi="Times New Roman"/>
          <w:iCs/>
          <w:sz w:val="24"/>
          <w:szCs w:val="24"/>
        </w:rPr>
        <w:t>index</w:t>
      </w:r>
      <w:r w:rsidRPr="00CD3EE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of a species based on ethnobotanical uses;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demonstrate the evaluation of two ethnobotanical sites for prioritization or disposal.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4. Submission of Ethnomedicinal herbarium /Museum specimens like leaves, barks, tubers, nuts,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etc. of economic/medicinal use.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3EE7" w:rsidRDefault="00CD3EE7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lastRenderedPageBreak/>
        <w:t>Spotters:</w:t>
      </w:r>
    </w:p>
    <w:p w:rsidR="005710C9" w:rsidRPr="00CD3EE7" w:rsidRDefault="00CC3629" w:rsidP="00F37D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Ethnic food plants:</w:t>
      </w:r>
    </w:p>
    <w:p w:rsidR="005710C9" w:rsidRPr="00CD3EE7" w:rsidRDefault="00F37DA8" w:rsidP="00F37D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C3629" w:rsidRPr="00CD3EE7">
        <w:rPr>
          <w:rFonts w:ascii="Times New Roman" w:hAnsi="Times New Roman"/>
          <w:sz w:val="24"/>
          <w:szCs w:val="24"/>
        </w:rPr>
        <w:t>Ethnomedicianl plants:</w:t>
      </w:r>
    </w:p>
    <w:p w:rsidR="005710C9" w:rsidRPr="00CD3EE7" w:rsidRDefault="00CC3629" w:rsidP="00F37D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Ethnoveterary plants:</w:t>
      </w:r>
    </w:p>
    <w:p w:rsidR="005710C9" w:rsidRPr="00CD3EE7" w:rsidRDefault="00CC3629" w:rsidP="00F37D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Magio- religion/ ornamental plants: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5. A visit to a Tribal area to collect data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6. Listing of Crude drugs in pansari shops (local crude drugs shops) and their identification (little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known drugs only)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Suggested Readings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Faulks, P.J. 1958. An introduction to Ethnobotany, Moredale pub. Ltd. London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Jain, S.K. (ed.) 1981. Glimpses of Indian. Ethnobotny, Oxford and I B H, New Delhi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Jain, S.K. (ed.) 1989. Methods and approaches in ethnobotany Society of ethnobotanists, Lucknow, India.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Jain, S.K. 1990. Contributions of Indian ethnobotny. Scientific publishers, Jodhpur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Jain, S.K. 1995. Manual of Ethnobotany, Scientific Publishers, Jodhpur,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Sinha, R. K. 1996 Ethnobotany: The Renaissance of Traditional Herbal Medicine – INA – SHREE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Publishers, Jaipur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Colton C.M. 1997. Ethnobotany – Principles and applications. John Wiley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4BE4" w:rsidRPr="00CD3EE7" w:rsidRDefault="00B66540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br w:type="column"/>
      </w:r>
      <w:r w:rsidR="00F37DA8" w:rsidRPr="00CD3EE7"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  <w:r w:rsidR="00C84BE4" w:rsidRPr="00CD3EE7">
        <w:rPr>
          <w:rFonts w:ascii="Times New Roman" w:hAnsi="Times New Roman"/>
          <w:b/>
          <w:bCs/>
          <w:sz w:val="24"/>
          <w:szCs w:val="24"/>
        </w:rPr>
        <w:t>M. Sc. Botany (Semester-III)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Paper-IV</w:t>
      </w:r>
      <w:r w:rsidR="00C84BE4" w:rsidRPr="00CD3EE7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CD3EE7">
        <w:rPr>
          <w:rFonts w:ascii="Times New Roman" w:hAnsi="Times New Roman"/>
          <w:b/>
          <w:bCs/>
          <w:sz w:val="24"/>
          <w:szCs w:val="24"/>
        </w:rPr>
        <w:t>Biodiversity Conservation</w:t>
      </w:r>
    </w:p>
    <w:p w:rsidR="007D1FBD" w:rsidRPr="00CD3EE7" w:rsidRDefault="00FE1EBD" w:rsidP="00CD3E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BOT304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Biodiversity: concept; national &amp; global status; endemism, speciation and extinction; levels ofbiodiversity, hotspots and hottest hotspots; study of Indian biodiversity hot spot, significance ofbiodiversity; local plant diversity and its socio-economic importance, causes of biodiversity depletion,ICUN categories of threat; Red Data Books.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 xml:space="preserve">Principles of conservation, major approaches to management, Biodiversity Conservation strategies,Protected areas in India - Wildlife sanctuaries; National parks; Biosphere reserves; Wetlands andRamsar convention, Role of botanical gardens, seed banks, </w:t>
      </w:r>
      <w:r w:rsidRPr="00CD3EE7">
        <w:rPr>
          <w:rFonts w:ascii="Times New Roman" w:hAnsi="Times New Roman"/>
          <w:i/>
          <w:iCs/>
          <w:sz w:val="24"/>
          <w:szCs w:val="24"/>
        </w:rPr>
        <w:t xml:space="preserve">in-vitro </w:t>
      </w:r>
      <w:r w:rsidRPr="00CD3EE7">
        <w:rPr>
          <w:rFonts w:ascii="Times New Roman" w:hAnsi="Times New Roman"/>
          <w:sz w:val="24"/>
          <w:szCs w:val="24"/>
        </w:rPr>
        <w:t>repositories and cryobanks in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biodiversity conservation.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UNIT-III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Plant explorations; invasions and introductions; National Bureau of Plant Genetic Resources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(NBPGR), Convention of Biological Diversity (CBD), Indian initiatives in biodiversity conservation,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National Biodiversity Authority (NBA), Importance of Ethnobotany in Indian context; Farmers’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Rights and Intellectual Property Rights.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UNIT-IV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Phytogeography and forest types of India - Ecological and economic importance of forests,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afforestation, deforestation and social forestry; endangered plants, endemism, invasive species;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UNIT-V</w:t>
      </w: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7">
        <w:rPr>
          <w:rFonts w:ascii="Times New Roman" w:hAnsi="Times New Roman"/>
          <w:sz w:val="24"/>
          <w:szCs w:val="24"/>
        </w:rPr>
        <w:t>Desertification and wasteland reclamation, energy plantations; Effects of global warming, climatic</w:t>
      </w:r>
      <w:r w:rsidR="00F37DA8">
        <w:rPr>
          <w:rFonts w:ascii="Times New Roman" w:hAnsi="Times New Roman"/>
          <w:sz w:val="24"/>
          <w:szCs w:val="24"/>
        </w:rPr>
        <w:t xml:space="preserve"> </w:t>
      </w:r>
      <w:r w:rsidRPr="00CD3EE7">
        <w:rPr>
          <w:rFonts w:ascii="Times New Roman" w:hAnsi="Times New Roman"/>
          <w:sz w:val="24"/>
          <w:szCs w:val="24"/>
        </w:rPr>
        <w:t>change and stratospheric ozone depletion on plant diversity.</w:t>
      </w:r>
    </w:p>
    <w:p w:rsidR="005710C9" w:rsidRPr="00CD3EE7" w:rsidRDefault="005710C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10C9" w:rsidRPr="00CD3EE7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7">
        <w:rPr>
          <w:rFonts w:ascii="Times New Roman" w:hAnsi="Times New Roman"/>
          <w:b/>
          <w:bCs/>
          <w:sz w:val="24"/>
          <w:szCs w:val="24"/>
        </w:rPr>
        <w:t>Reference Books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 xml:space="preserve">􀁸Odum, E.P. and Barrett, G.W. 2005. </w:t>
      </w:r>
      <w:r w:rsidRPr="00F37DA8">
        <w:rPr>
          <w:rFonts w:ascii="Times New Roman" w:hAnsi="Times New Roman"/>
          <w:bCs/>
          <w:sz w:val="24"/>
          <w:szCs w:val="24"/>
        </w:rPr>
        <w:t xml:space="preserve">Fundamentals of Ecology </w:t>
      </w:r>
      <w:r w:rsidRPr="00F37DA8">
        <w:rPr>
          <w:rFonts w:ascii="Times New Roman" w:hAnsi="Times New Roman"/>
          <w:sz w:val="24"/>
          <w:szCs w:val="24"/>
        </w:rPr>
        <w:t>(5th Ed.) Brooks/Cengage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>Learning India Pvt. Ltd., New Delhi.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 xml:space="preserve">􀁸Kormondy, E.J. 2008. </w:t>
      </w:r>
      <w:r w:rsidRPr="00F37DA8">
        <w:rPr>
          <w:rFonts w:ascii="Times New Roman" w:hAnsi="Times New Roman"/>
          <w:bCs/>
          <w:sz w:val="24"/>
          <w:szCs w:val="24"/>
        </w:rPr>
        <w:t>Concepts of Ecology</w:t>
      </w:r>
      <w:r w:rsidRPr="00F37DA8">
        <w:rPr>
          <w:rFonts w:ascii="Times New Roman" w:hAnsi="Times New Roman"/>
          <w:sz w:val="24"/>
          <w:szCs w:val="24"/>
        </w:rPr>
        <w:t>. Prentice Hall of India., New Delhi.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 xml:space="preserve">􀁸Subrahmanyam, N.S. and Sambamurty, A.V.S.S. 2008. </w:t>
      </w:r>
      <w:r w:rsidRPr="00F37DA8">
        <w:rPr>
          <w:rFonts w:ascii="Times New Roman" w:hAnsi="Times New Roman"/>
          <w:bCs/>
          <w:sz w:val="24"/>
          <w:szCs w:val="24"/>
        </w:rPr>
        <w:t xml:space="preserve">Ecology </w:t>
      </w:r>
      <w:r w:rsidRPr="00F37DA8">
        <w:rPr>
          <w:rFonts w:ascii="Times New Roman" w:hAnsi="Times New Roman"/>
          <w:sz w:val="24"/>
          <w:szCs w:val="24"/>
        </w:rPr>
        <w:t>(2nd Ed.) Narosa Publishing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>House, New Delhi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 xml:space="preserve">􀁸Singh, J.S., Singh, S.P. and Gupta, S.R. 2008. </w:t>
      </w:r>
      <w:r w:rsidRPr="00F37DA8">
        <w:rPr>
          <w:rFonts w:ascii="Times New Roman" w:hAnsi="Times New Roman"/>
          <w:bCs/>
          <w:sz w:val="24"/>
          <w:szCs w:val="24"/>
        </w:rPr>
        <w:t>Ecology, Environment and Resource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bCs/>
          <w:sz w:val="24"/>
          <w:szCs w:val="24"/>
        </w:rPr>
        <w:t>Conservation</w:t>
      </w:r>
      <w:r w:rsidRPr="00F37DA8">
        <w:rPr>
          <w:rFonts w:ascii="Times New Roman" w:hAnsi="Times New Roman"/>
          <w:sz w:val="24"/>
          <w:szCs w:val="24"/>
        </w:rPr>
        <w:t>, Anamaya Publishers, New Delhi.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 xml:space="preserve">􀁸Stiling, P. 2009. </w:t>
      </w:r>
      <w:r w:rsidRPr="00F37DA8">
        <w:rPr>
          <w:rFonts w:ascii="Times New Roman" w:hAnsi="Times New Roman"/>
          <w:bCs/>
          <w:sz w:val="24"/>
          <w:szCs w:val="24"/>
        </w:rPr>
        <w:t xml:space="preserve">Ecology: Theory and Applications </w:t>
      </w:r>
      <w:r w:rsidRPr="00F37DA8">
        <w:rPr>
          <w:rFonts w:ascii="Times New Roman" w:hAnsi="Times New Roman"/>
          <w:sz w:val="24"/>
          <w:szCs w:val="24"/>
        </w:rPr>
        <w:t>(4th Ed.). PHI Learning Pvt. Ltd. New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>Delhi.</w:t>
      </w:r>
    </w:p>
    <w:p w:rsidR="005710C9" w:rsidRPr="00F37DA8" w:rsidRDefault="00CC3629" w:rsidP="00CD3E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 xml:space="preserve">􀁸Rana, S.V.S. 2009. </w:t>
      </w:r>
      <w:r w:rsidRPr="00F37DA8">
        <w:rPr>
          <w:rFonts w:ascii="Times New Roman" w:hAnsi="Times New Roman"/>
          <w:bCs/>
          <w:sz w:val="24"/>
          <w:szCs w:val="24"/>
        </w:rPr>
        <w:t xml:space="preserve">Essentials of Ecology and Environmental Sciences </w:t>
      </w:r>
      <w:r w:rsidRPr="00F37DA8">
        <w:rPr>
          <w:rFonts w:ascii="Times New Roman" w:hAnsi="Times New Roman"/>
          <w:sz w:val="24"/>
          <w:szCs w:val="24"/>
        </w:rPr>
        <w:t>(4th Ed.) PHI Learning</w:t>
      </w:r>
    </w:p>
    <w:p w:rsidR="005710C9" w:rsidRPr="00F37DA8" w:rsidRDefault="00CC3629" w:rsidP="00CD3E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DA8">
        <w:rPr>
          <w:rFonts w:ascii="Times New Roman" w:hAnsi="Times New Roman"/>
          <w:sz w:val="24"/>
          <w:szCs w:val="24"/>
        </w:rPr>
        <w:t>Pvt. Ltd.</w:t>
      </w:r>
    </w:p>
    <w:sectPr w:rsidR="005710C9" w:rsidRPr="00F37DA8" w:rsidSect="005710C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55" w:rsidRDefault="001F6155" w:rsidP="00797D4B">
      <w:pPr>
        <w:spacing w:after="0" w:line="240" w:lineRule="auto"/>
      </w:pPr>
      <w:r>
        <w:separator/>
      </w:r>
    </w:p>
  </w:endnote>
  <w:endnote w:type="continuationSeparator" w:id="0">
    <w:p w:rsidR="001F6155" w:rsidRDefault="001F6155" w:rsidP="00797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Fallback">
    <w:altName w:val="SimSun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EE7" w:rsidRPr="00CD3EE7" w:rsidRDefault="00F37DA8" w:rsidP="00CD3EE7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line="240" w:lineRule="auto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 xml:space="preserve">Msc </w:t>
    </w:r>
    <w:r w:rsidR="00CD3EE7" w:rsidRPr="00CD3EE7">
      <w:rPr>
        <w:rFonts w:ascii="Cambria" w:eastAsia="Droid Sans Fallback" w:hAnsi="Cambria" w:cs="Calibri"/>
        <w:i/>
        <w:iCs/>
      </w:rPr>
      <w:t>(</w:t>
    </w:r>
    <w:r>
      <w:rPr>
        <w:rFonts w:ascii="Cambria" w:eastAsia="Droid Sans Fallback" w:hAnsi="Cambria" w:cs="Calibri"/>
        <w:i/>
        <w:iCs/>
      </w:rPr>
      <w:t>Bot</w:t>
    </w:r>
    <w:r w:rsidR="00CD3EE7" w:rsidRPr="00CD3EE7">
      <w:rPr>
        <w:rFonts w:ascii="Cambria" w:eastAsia="Droid Sans Fallback" w:hAnsi="Cambria" w:cs="Calibri"/>
        <w:i/>
        <w:iCs/>
      </w:rPr>
      <w:t>)</w:t>
    </w:r>
    <w:r w:rsidR="00CD3EE7" w:rsidRPr="00CD3EE7">
      <w:rPr>
        <w:rFonts w:ascii="Cambria" w:eastAsia="Droid Sans Fallback" w:hAnsi="Cambria" w:cs="Calibri"/>
        <w:i/>
        <w:iCs/>
      </w:rPr>
      <w:tab/>
    </w:r>
    <w:r w:rsidR="00CD3EE7" w:rsidRPr="00CD3EE7">
      <w:rPr>
        <w:rFonts w:ascii="Cambria" w:eastAsia="Droid Sans Fallback" w:hAnsi="Cambria" w:cs="Calibri"/>
        <w:i/>
        <w:iCs/>
      </w:rPr>
      <w:tab/>
    </w:r>
    <w:r>
      <w:rPr>
        <w:rFonts w:ascii="Cambria" w:eastAsia="Droid Sans Fallback" w:hAnsi="Cambria" w:cs="Calibri"/>
        <w:i/>
        <w:iCs/>
      </w:rPr>
      <w:t xml:space="preserve">                                                                                                                                                </w:t>
    </w:r>
    <w:r w:rsidR="00CD3EE7" w:rsidRPr="00CD3EE7">
      <w:rPr>
        <w:rFonts w:ascii="Cambria" w:eastAsia="Droid Sans Fallback" w:hAnsi="Cambria" w:cs="Calibri"/>
        <w:i/>
        <w:iCs/>
      </w:rPr>
      <w:t xml:space="preserve">wef </w:t>
    </w:r>
    <w:r>
      <w:rPr>
        <w:rFonts w:ascii="Cambria" w:eastAsia="Droid Sans Fallback" w:hAnsi="Cambria" w:cs="Calibri"/>
        <w:i/>
        <w:iCs/>
      </w:rPr>
      <w:t xml:space="preserve"> </w:t>
    </w:r>
    <w:r w:rsidR="00CD3EE7" w:rsidRPr="00CD3EE7">
      <w:rPr>
        <w:rFonts w:ascii="Cambria" w:eastAsia="Droid Sans Fallback" w:hAnsi="Cambria" w:cs="Calibri"/>
        <w:i/>
        <w:iCs/>
      </w:rPr>
      <w:t>201</w:t>
    </w:r>
    <w:r>
      <w:rPr>
        <w:rFonts w:ascii="Cambria" w:eastAsia="Droid Sans Fallback" w:hAnsi="Cambria" w:cs="Calibri"/>
        <w:i/>
        <w:iCs/>
      </w:rPr>
      <w:t>6-17</w:t>
    </w:r>
  </w:p>
  <w:p w:rsidR="00CD3EE7" w:rsidRDefault="00CD3E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55" w:rsidRDefault="001F6155" w:rsidP="00797D4B">
      <w:pPr>
        <w:spacing w:after="0" w:line="240" w:lineRule="auto"/>
      </w:pPr>
      <w:r>
        <w:separator/>
      </w:r>
    </w:p>
  </w:footnote>
  <w:footnote w:type="continuationSeparator" w:id="0">
    <w:p w:rsidR="001F6155" w:rsidRDefault="001F6155" w:rsidP="00797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4B" w:rsidRPr="00F66558" w:rsidRDefault="00797D4B" w:rsidP="00797D4B">
    <w:pPr>
      <w:autoSpaceDE w:val="0"/>
      <w:autoSpaceDN w:val="0"/>
      <w:adjustRightInd w:val="0"/>
      <w:ind w:left="220"/>
      <w:jc w:val="center"/>
      <w:rPr>
        <w:szCs w:val="24"/>
      </w:rPr>
    </w:pPr>
    <w:r w:rsidRPr="00F66558">
      <w:rPr>
        <w:rFonts w:ascii="Cambria" w:hAnsi="Cambria" w:cs="Cambria"/>
        <w:color w:val="00000A"/>
        <w:sz w:val="28"/>
        <w:szCs w:val="32"/>
      </w:rPr>
      <w:t>Sri Satya Sai University of Technology &amp; Medical Sciences, Sehore (M.P.)</w:t>
    </w:r>
  </w:p>
  <w:p w:rsidR="00797D4B" w:rsidRPr="00797D4B" w:rsidRDefault="00A0304C" w:rsidP="00797D4B">
    <w:pPr>
      <w:autoSpaceDE w:val="0"/>
      <w:autoSpaceDN w:val="0"/>
      <w:adjustRightInd w:val="0"/>
      <w:spacing w:line="365" w:lineRule="exact"/>
      <w:jc w:val="center"/>
      <w:rPr>
        <w:sz w:val="28"/>
        <w:szCs w:val="32"/>
      </w:rPr>
    </w:pPr>
    <w:r>
      <w:rPr>
        <w:rFonts w:eastAsiaTheme="minorEastAsia" w:cs="Mangal"/>
        <w:noProof/>
        <w:sz w:val="20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column">
                <wp:posOffset>-52705</wp:posOffset>
              </wp:positionH>
              <wp:positionV relativeFrom="paragraph">
                <wp:posOffset>17145</wp:posOffset>
              </wp:positionV>
              <wp:extent cx="6082030" cy="0"/>
              <wp:effectExtent l="13970" t="12700" r="9525" b="63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820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1.35pt" to="474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" o:allowincell="f" strokecolor="#622423"/>
          </w:pict>
        </mc:Fallback>
      </mc:AlternateContent>
    </w:r>
    <w:r>
      <w:rPr>
        <w:rFonts w:eastAsiaTheme="minorEastAsia" w:cs="Mangal"/>
        <w:noProof/>
        <w:sz w:val="20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column">
                <wp:posOffset>-52705</wp:posOffset>
              </wp:positionH>
              <wp:positionV relativeFrom="paragraph">
                <wp:posOffset>50800</wp:posOffset>
              </wp:positionV>
              <wp:extent cx="6082030" cy="0"/>
              <wp:effectExtent l="23495" t="27305" r="19050" b="2032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820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4pt" to="474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" o:allowincell="f" strokecolor="#622423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A2636"/>
    <w:multiLevelType w:val="hybridMultilevel"/>
    <w:tmpl w:val="1AC2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6C1A9A"/>
    <w:multiLevelType w:val="hybridMultilevel"/>
    <w:tmpl w:val="79DEC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0C9"/>
    <w:rsid w:val="00026C87"/>
    <w:rsid w:val="000502C0"/>
    <w:rsid w:val="000F0372"/>
    <w:rsid w:val="00106187"/>
    <w:rsid w:val="00181DDA"/>
    <w:rsid w:val="001F6155"/>
    <w:rsid w:val="0020520D"/>
    <w:rsid w:val="00243A3E"/>
    <w:rsid w:val="002B7CE2"/>
    <w:rsid w:val="00317EB8"/>
    <w:rsid w:val="003B431B"/>
    <w:rsid w:val="003F2131"/>
    <w:rsid w:val="004D3F5F"/>
    <w:rsid w:val="005710C9"/>
    <w:rsid w:val="006004D0"/>
    <w:rsid w:val="00606193"/>
    <w:rsid w:val="006F58ED"/>
    <w:rsid w:val="007620DD"/>
    <w:rsid w:val="00797D4B"/>
    <w:rsid w:val="007A4C81"/>
    <w:rsid w:val="007D1FBD"/>
    <w:rsid w:val="008038F6"/>
    <w:rsid w:val="0080683D"/>
    <w:rsid w:val="00847F1C"/>
    <w:rsid w:val="0089271D"/>
    <w:rsid w:val="00944B84"/>
    <w:rsid w:val="00970F4D"/>
    <w:rsid w:val="00972531"/>
    <w:rsid w:val="00A0304C"/>
    <w:rsid w:val="00A076B8"/>
    <w:rsid w:val="00A33FCE"/>
    <w:rsid w:val="00A37197"/>
    <w:rsid w:val="00A937EB"/>
    <w:rsid w:val="00B6131A"/>
    <w:rsid w:val="00B66540"/>
    <w:rsid w:val="00BD5A09"/>
    <w:rsid w:val="00C33F3C"/>
    <w:rsid w:val="00C84BE4"/>
    <w:rsid w:val="00C925FE"/>
    <w:rsid w:val="00CC3629"/>
    <w:rsid w:val="00CD3EE7"/>
    <w:rsid w:val="00F13ED5"/>
    <w:rsid w:val="00F2057C"/>
    <w:rsid w:val="00F21E89"/>
    <w:rsid w:val="00F37DA8"/>
    <w:rsid w:val="00F87618"/>
    <w:rsid w:val="00F901FF"/>
    <w:rsid w:val="00FE1EBD"/>
    <w:rsid w:val="00FF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0C9"/>
    <w:pPr>
      <w:spacing w:after="200" w:line="276" w:lineRule="auto"/>
    </w:pPr>
    <w:rPr>
      <w:rFonts w:ascii="Calibri" w:eastAsia="Calibri" w:hAnsi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710C9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710C9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ListParagraph1">
    <w:name w:val="List Paragraph1"/>
    <w:basedOn w:val="Normal"/>
    <w:uiPriority w:val="34"/>
    <w:qFormat/>
    <w:rsid w:val="005710C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710C9"/>
  </w:style>
  <w:style w:type="character" w:customStyle="1" w:styleId="FooterChar">
    <w:name w:val="Footer Char"/>
    <w:basedOn w:val="DefaultParagraphFont"/>
    <w:link w:val="Footer"/>
    <w:uiPriority w:val="99"/>
    <w:rsid w:val="00571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0C9"/>
    <w:pPr>
      <w:spacing w:after="200" w:line="276" w:lineRule="auto"/>
    </w:pPr>
    <w:rPr>
      <w:rFonts w:ascii="Calibri" w:eastAsia="Calibri" w:hAnsi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710C9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710C9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ListParagraph1">
    <w:name w:val="List Paragraph1"/>
    <w:basedOn w:val="Normal"/>
    <w:uiPriority w:val="34"/>
    <w:qFormat/>
    <w:rsid w:val="005710C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710C9"/>
  </w:style>
  <w:style w:type="character" w:customStyle="1" w:styleId="FooterChar">
    <w:name w:val="Footer Char"/>
    <w:basedOn w:val="DefaultParagraphFont"/>
    <w:link w:val="Footer"/>
    <w:uiPriority w:val="99"/>
    <w:rsid w:val="0057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0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99795B-86B1-4CF2-887E-FD08EE21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 Sc. Botany (Semester-III)</vt:lpstr>
    </vt:vector>
  </TitlesOfParts>
  <Company/>
  <LinksUpToDate>false</LinksUpToDate>
  <CharactersWithSpaces>12157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 Sc. Botany (Semester-III)</dc:title>
  <dc:creator>shashank</dc:creator>
  <cp:lastModifiedBy>cse009</cp:lastModifiedBy>
  <cp:revision>2</cp:revision>
  <dcterms:created xsi:type="dcterms:W3CDTF">2016-07-05T10:44:00Z</dcterms:created>
  <dcterms:modified xsi:type="dcterms:W3CDTF">2016-07-05T10:44:00Z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1033-9.1.0.4674</vt:lpwstr>
  </property>
</Properties>
</file>